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</w:p>
    <w:p w14:paraId="02000000">
      <w:pPr>
        <w:pStyle w:val="Style_1"/>
        <w:rPr>
          <w:b w:val="0"/>
          <w:sz w:val="24"/>
        </w:rPr>
      </w:pPr>
    </w:p>
    <w:p w14:paraId="03000000">
      <w:pPr>
        <w:pStyle w:val="Style_1"/>
        <w:rPr>
          <w:sz w:val="24"/>
        </w:rPr>
      </w:pPr>
      <w:r>
        <w:rPr>
          <w:sz w:val="24"/>
        </w:rPr>
        <w:t xml:space="preserve">АДМИНИСТРАЦИЯ </w:t>
      </w:r>
      <w:r>
        <w:rPr>
          <w:sz w:val="24"/>
        </w:rPr>
        <w:t>НОВОБЕССЕРГЕНЕВСКОГО</w:t>
      </w:r>
      <w:r>
        <w:rPr>
          <w:sz w:val="24"/>
        </w:rPr>
        <w:t xml:space="preserve"> СЕЛЬСКОГО ПОСЕЛЕНИЯ</w:t>
      </w:r>
    </w:p>
    <w:p w14:paraId="04000000">
      <w:pPr>
        <w:pStyle w:val="Style_1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 xml:space="preserve">РОСТОВСКАЯ ОБЛАСТЬ   НЕКЛИНОВСКИЙ РАЙОН  </w:t>
      </w:r>
    </w:p>
    <w:p w14:paraId="05000000">
      <w:pPr>
        <w:pStyle w:val="Style_1"/>
        <w:rPr>
          <w:b w:val="0"/>
          <w:sz w:val="24"/>
        </w:rPr>
      </w:pPr>
    </w:p>
    <w:p w14:paraId="06000000">
      <w:pPr>
        <w:ind/>
        <w:jc w:val="center"/>
        <w:rPr>
          <w:sz w:val="24"/>
        </w:rPr>
      </w:pPr>
      <w:r>
        <w:rPr>
          <w:sz w:val="24"/>
        </w:rPr>
        <w:t>РАСПОРЯЖЕНИЕ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 xml:space="preserve">с. </w:t>
      </w:r>
      <w:r>
        <w:rPr>
          <w:sz w:val="24"/>
        </w:rPr>
        <w:t>Новобессергеневка</w:t>
      </w:r>
    </w:p>
    <w:p w14:paraId="08000000">
      <w:pPr>
        <w:ind/>
        <w:jc w:val="center"/>
        <w:rPr>
          <w:sz w:val="24"/>
        </w:rPr>
      </w:pPr>
    </w:p>
    <w:p w14:paraId="09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p w14:paraId="0A000000">
      <w:pPr>
        <w:rPr>
          <w:b w:val="1"/>
          <w:sz w:val="26"/>
        </w:rPr>
      </w:pPr>
      <w:r>
        <w:rPr>
          <w:b w:val="1"/>
          <w:sz w:val="26"/>
        </w:rPr>
        <w:t xml:space="preserve">        </w:t>
      </w:r>
      <w:r>
        <w:rPr>
          <w:b w:val="1"/>
          <w:sz w:val="26"/>
        </w:rPr>
        <w:t>26</w:t>
      </w:r>
      <w:r>
        <w:rPr>
          <w:b w:val="1"/>
          <w:sz w:val="26"/>
        </w:rPr>
        <w:t>.</w:t>
      </w:r>
      <w:r>
        <w:rPr>
          <w:b w:val="1"/>
          <w:sz w:val="26"/>
        </w:rPr>
        <w:t>01</w:t>
      </w:r>
      <w:r>
        <w:rPr>
          <w:b w:val="1"/>
          <w:sz w:val="26"/>
        </w:rPr>
        <w:t>.202</w:t>
      </w:r>
      <w:r>
        <w:rPr>
          <w:b w:val="1"/>
          <w:sz w:val="26"/>
        </w:rPr>
        <w:t>4</w:t>
      </w:r>
      <w:r>
        <w:rPr>
          <w:b w:val="1"/>
          <w:sz w:val="26"/>
        </w:rPr>
        <w:t xml:space="preserve">г.                                                                                        </w:t>
      </w:r>
      <w:r>
        <w:rPr>
          <w:b w:val="1"/>
          <w:sz w:val="26"/>
        </w:rPr>
        <w:t xml:space="preserve">        </w:t>
      </w:r>
      <w:r>
        <w:rPr>
          <w:b w:val="1"/>
          <w:sz w:val="26"/>
        </w:rPr>
        <w:t xml:space="preserve">                 № 19</w:t>
      </w:r>
    </w:p>
    <w:p w14:paraId="0B000000">
      <w:pPr>
        <w:rPr>
          <w:b w:val="1"/>
          <w:i w:val="1"/>
          <w:sz w:val="26"/>
        </w:rPr>
      </w:pPr>
    </w:p>
    <w:tbl>
      <w:tblPr>
        <w:tblStyle w:val="Style_2"/>
        <w:tblLayout w:type="fixed"/>
      </w:tblPr>
      <w:tblGrid>
        <w:gridCol w:w="5211"/>
      </w:tblGrid>
      <w:tr>
        <w:trPr>
          <w:trHeight w:hRule="atLeast" w:val="1595"/>
        </w:trPr>
        <w:tc>
          <w:tcPr>
            <w:tcW w:type="dxa" w:w="5211"/>
          </w:tcPr>
          <w:p w14:paraId="0C000000">
            <w:pPr>
              <w:pStyle w:val="Style_3"/>
              <w:ind w:firstLine="0" w:left="0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Об утверждении плана реализации муниципальной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 xml:space="preserve">программы </w:t>
            </w:r>
            <w:r>
              <w:rPr>
                <w:b w:val="1"/>
                <w:sz w:val="26"/>
              </w:rPr>
              <w:t>«</w:t>
            </w:r>
            <w:r>
              <w:rPr>
                <w:b w:val="1"/>
                <w:sz w:val="26"/>
              </w:rPr>
              <w:t>Информационное общество</w:t>
            </w:r>
            <w:r>
              <w:rPr>
                <w:b w:val="1"/>
                <w:sz w:val="26"/>
              </w:rPr>
              <w:t xml:space="preserve">» </w:t>
            </w:r>
            <w:r>
              <w:rPr>
                <w:b w:val="1"/>
                <w:sz w:val="26"/>
              </w:rPr>
              <w:t>Новобессергеневского</w:t>
            </w:r>
            <w:r>
              <w:rPr>
                <w:b w:val="1"/>
                <w:sz w:val="26"/>
              </w:rPr>
              <w:t xml:space="preserve"> сельского поселения на 20</w:t>
            </w: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>4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год</w:t>
            </w:r>
          </w:p>
        </w:tc>
      </w:tr>
    </w:tbl>
    <w:p w14:paraId="0D000000">
      <w:pPr>
        <w:rPr>
          <w:b w:val="1"/>
          <w:sz w:val="26"/>
        </w:rPr>
      </w:pPr>
    </w:p>
    <w:p w14:paraId="0E000000">
      <w:pPr>
        <w:rPr>
          <w:b w:val="1"/>
          <w:sz w:val="26"/>
        </w:rPr>
      </w:pPr>
    </w:p>
    <w:p w14:paraId="0F000000">
      <w:pPr>
        <w:pStyle w:val="Style_3"/>
        <w:ind w:firstLine="0" w:left="0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Новобессергеневского сельского </w:t>
      </w:r>
      <w:r>
        <w:rPr>
          <w:sz w:val="26"/>
        </w:rPr>
        <w:t>по</w:t>
      </w:r>
      <w:r>
        <w:rPr>
          <w:sz w:val="26"/>
        </w:rPr>
        <w:t>селен</w:t>
      </w:r>
      <w:r>
        <w:rPr>
          <w:sz w:val="26"/>
        </w:rPr>
        <w:t>и</w:t>
      </w:r>
      <w:r>
        <w:rPr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26</w:t>
      </w:r>
      <w:r>
        <w:rPr>
          <w:sz w:val="26"/>
        </w:rPr>
        <w:t>.0</w:t>
      </w:r>
      <w:r>
        <w:rPr>
          <w:sz w:val="26"/>
        </w:rPr>
        <w:t>9</w:t>
      </w:r>
      <w:r>
        <w:rPr>
          <w:sz w:val="26"/>
        </w:rPr>
        <w:t xml:space="preserve">.2013 № </w:t>
      </w:r>
      <w:r>
        <w:rPr>
          <w:sz w:val="26"/>
        </w:rPr>
        <w:t>26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Новобессергеневского сельского поселения</w:t>
      </w:r>
      <w:r>
        <w:rPr>
          <w:sz w:val="26"/>
        </w:rPr>
        <w:t>»</w:t>
      </w:r>
      <w:r>
        <w:rPr>
          <w:color w:val="000000"/>
          <w:sz w:val="26"/>
        </w:rPr>
        <w:t xml:space="preserve"> (в ред. от 12.10.2015г. </w:t>
      </w:r>
      <w:r>
        <w:rPr>
          <w:color w:val="000000"/>
          <w:sz w:val="26"/>
        </w:rPr>
        <w:t>поста</w:t>
      </w:r>
      <w:r>
        <w:rPr>
          <w:color w:val="000000"/>
          <w:sz w:val="26"/>
        </w:rPr>
        <w:t>новление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№</w:t>
      </w:r>
      <w:r>
        <w:rPr>
          <w:color w:val="000000"/>
          <w:sz w:val="26"/>
        </w:rPr>
        <w:t>69)</w:t>
      </w:r>
      <w:r>
        <w:rPr>
          <w:sz w:val="26"/>
        </w:rPr>
        <w:t>:</w:t>
      </w:r>
    </w:p>
    <w:p w14:paraId="10000000">
      <w:pPr>
        <w:numPr>
          <w:ilvl w:val="0"/>
          <w:numId w:val="1"/>
        </w:numPr>
        <w:ind w:firstLine="426" w:left="0"/>
        <w:jc w:val="both"/>
        <w:rPr>
          <w:b w:val="1"/>
          <w:sz w:val="26"/>
        </w:rPr>
      </w:pPr>
      <w:r>
        <w:rPr>
          <w:sz w:val="26"/>
        </w:rPr>
        <w:t>Утвердить План реализации муниципальной программ</w:t>
      </w:r>
      <w:r>
        <w:rPr>
          <w:sz w:val="26"/>
        </w:rPr>
        <w:t xml:space="preserve">ы </w:t>
      </w:r>
      <w:r>
        <w:rPr>
          <w:sz w:val="26"/>
        </w:rPr>
        <w:t>«</w:t>
      </w:r>
      <w:r>
        <w:rPr>
          <w:sz w:val="26"/>
        </w:rPr>
        <w:t>Инф</w:t>
      </w:r>
      <w:r>
        <w:rPr>
          <w:sz w:val="26"/>
        </w:rPr>
        <w:t>о</w:t>
      </w:r>
      <w:r>
        <w:rPr>
          <w:sz w:val="26"/>
        </w:rPr>
        <w:t>рма</w:t>
      </w:r>
      <w:r>
        <w:rPr>
          <w:sz w:val="26"/>
        </w:rPr>
        <w:t>цио</w:t>
      </w:r>
      <w:r>
        <w:rPr>
          <w:sz w:val="26"/>
        </w:rPr>
        <w:t>нное общество</w:t>
      </w:r>
      <w:r>
        <w:rPr>
          <w:sz w:val="26"/>
        </w:rPr>
        <w:t xml:space="preserve">»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 на 20</w:t>
      </w:r>
      <w:r>
        <w:rPr>
          <w:sz w:val="26"/>
        </w:rPr>
        <w:t>2</w:t>
      </w:r>
      <w:r>
        <w:rPr>
          <w:sz w:val="26"/>
        </w:rPr>
        <w:t>4</w:t>
      </w:r>
      <w:r>
        <w:rPr>
          <w:sz w:val="26"/>
        </w:rPr>
        <w:t xml:space="preserve"> год (далее план реализации) согласно приложению</w:t>
      </w:r>
    </w:p>
    <w:p w14:paraId="11000000">
      <w:pPr>
        <w:numPr>
          <w:ilvl w:val="0"/>
          <w:numId w:val="1"/>
        </w:numPr>
        <w:ind w:firstLine="426" w:left="0"/>
        <w:jc w:val="both"/>
        <w:rPr>
          <w:b w:val="1"/>
          <w:sz w:val="26"/>
        </w:rPr>
      </w:pPr>
      <w:r>
        <w:rPr>
          <w:sz w:val="26"/>
        </w:rPr>
        <w:t>Отделу</w:t>
      </w:r>
      <w:r>
        <w:rPr>
          <w:sz w:val="26"/>
        </w:rPr>
        <w:t xml:space="preserve"> экономики и финансов Администрации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поселения, ответственному исполнителю, курирующему данное </w:t>
      </w:r>
      <w:r>
        <w:rPr>
          <w:sz w:val="26"/>
        </w:rPr>
        <w:t>на</w:t>
      </w:r>
      <w:r>
        <w:rPr>
          <w:sz w:val="26"/>
        </w:rPr>
        <w:t>прав</w:t>
      </w:r>
      <w:r>
        <w:rPr>
          <w:sz w:val="26"/>
        </w:rPr>
        <w:t>л</w:t>
      </w:r>
      <w:r>
        <w:rPr>
          <w:sz w:val="26"/>
        </w:rPr>
        <w:t>ени</w:t>
      </w:r>
      <w:r>
        <w:rPr>
          <w:sz w:val="26"/>
        </w:rPr>
        <w:t>е о</w:t>
      </w:r>
      <w:r>
        <w:rPr>
          <w:sz w:val="26"/>
        </w:rPr>
        <w:t>беспечить исполнение плана реализации, указанного в п</w:t>
      </w:r>
      <w:r>
        <w:rPr>
          <w:sz w:val="26"/>
        </w:rPr>
        <w:t>риложении</w:t>
      </w:r>
      <w:r>
        <w:rPr>
          <w:sz w:val="26"/>
        </w:rPr>
        <w:t xml:space="preserve"> 1 настоящего распоряжения.</w:t>
      </w:r>
    </w:p>
    <w:p w14:paraId="12000000">
      <w:pPr>
        <w:numPr>
          <w:ilvl w:val="0"/>
          <w:numId w:val="1"/>
        </w:numPr>
        <w:ind w:firstLine="426" w:left="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подписания.</w:t>
      </w:r>
    </w:p>
    <w:p w14:paraId="13000000">
      <w:pPr>
        <w:numPr>
          <w:ilvl w:val="0"/>
          <w:numId w:val="1"/>
        </w:numPr>
        <w:ind w:firstLine="426" w:left="0"/>
        <w:jc w:val="both"/>
        <w:rPr>
          <w:b w:val="1"/>
          <w:sz w:val="26"/>
        </w:rPr>
      </w:pPr>
      <w:r>
        <w:rPr>
          <w:sz w:val="26"/>
        </w:rPr>
        <w:t xml:space="preserve">Контроль </w:t>
      </w:r>
      <w:r>
        <w:rPr>
          <w:sz w:val="26"/>
        </w:rPr>
        <w:t>за исполнением</w:t>
      </w:r>
      <w:r>
        <w:rPr>
          <w:sz w:val="26"/>
        </w:rPr>
        <w:t xml:space="preserve"> настоящего распоряжения оставляю за собой.  </w:t>
      </w:r>
    </w:p>
    <w:p w14:paraId="14000000">
      <w:pPr>
        <w:ind w:firstLine="0" w:left="426"/>
        <w:jc w:val="both"/>
        <w:rPr>
          <w:b w:val="1"/>
          <w:sz w:val="26"/>
        </w:rPr>
      </w:pPr>
    </w:p>
    <w:p w14:paraId="15000000">
      <w:pPr>
        <w:ind w:firstLine="0" w:left="426"/>
        <w:jc w:val="both"/>
        <w:rPr>
          <w:b w:val="1"/>
          <w:sz w:val="26"/>
        </w:rPr>
      </w:pPr>
    </w:p>
    <w:p w14:paraId="16000000">
      <w:pPr>
        <w:spacing w:line="276" w:lineRule="auto"/>
        <w:ind/>
        <w:jc w:val="both"/>
        <w:rPr>
          <w:b w:val="1"/>
          <w:sz w:val="26"/>
        </w:rPr>
      </w:pPr>
    </w:p>
    <w:p w14:paraId="17000000">
      <w:pPr>
        <w:spacing w:line="276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</w:t>
      </w:r>
      <w:r>
        <w:rPr>
          <w:b w:val="1"/>
          <w:sz w:val="26"/>
        </w:rPr>
        <w:t>Г</w:t>
      </w:r>
      <w:r>
        <w:rPr>
          <w:b w:val="1"/>
          <w:sz w:val="26"/>
        </w:rPr>
        <w:t>лав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а</w:t>
      </w:r>
      <w:r>
        <w:rPr>
          <w:b w:val="1"/>
          <w:sz w:val="26"/>
        </w:rPr>
        <w:t>дминист</w:t>
      </w:r>
      <w:r>
        <w:rPr>
          <w:b w:val="1"/>
          <w:sz w:val="26"/>
        </w:rPr>
        <w:t>ра</w:t>
      </w:r>
      <w:r>
        <w:rPr>
          <w:b w:val="1"/>
          <w:sz w:val="26"/>
        </w:rPr>
        <w:t>ции</w:t>
      </w:r>
    </w:p>
    <w:p w14:paraId="18000000">
      <w:pPr>
        <w:spacing w:line="276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Новоб</w:t>
      </w:r>
      <w:r>
        <w:rPr>
          <w:b w:val="1"/>
          <w:sz w:val="26"/>
        </w:rPr>
        <w:t>ессергеневского</w:t>
      </w:r>
    </w:p>
    <w:p w14:paraId="19000000">
      <w:pPr>
        <w:spacing w:line="276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</w:t>
      </w:r>
      <w:r>
        <w:rPr>
          <w:b w:val="1"/>
          <w:sz w:val="26"/>
        </w:rPr>
        <w:t>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</w:t>
      </w:r>
      <w:r>
        <w:rPr>
          <w:b w:val="1"/>
          <w:sz w:val="26"/>
        </w:rPr>
        <w:t xml:space="preserve">                   </w:t>
      </w:r>
      <w:r>
        <w:rPr>
          <w:b w:val="1"/>
          <w:sz w:val="26"/>
        </w:rPr>
        <w:t xml:space="preserve">                     </w:t>
      </w:r>
      <w:r>
        <w:rPr>
          <w:b w:val="1"/>
          <w:sz w:val="26"/>
        </w:rPr>
        <w:t xml:space="preserve">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А.Ю. Галуза</w:t>
      </w:r>
    </w:p>
    <w:p w14:paraId="1A000000">
      <w:pPr>
        <w:rPr>
          <w:sz w:val="26"/>
        </w:rPr>
      </w:pPr>
    </w:p>
    <w:p w14:paraId="1B000000">
      <w:pPr>
        <w:rPr>
          <w:sz w:val="26"/>
        </w:rPr>
      </w:pPr>
    </w:p>
    <w:p w14:paraId="1C000000">
      <w:pPr>
        <w:rPr>
          <w:sz w:val="26"/>
        </w:rPr>
      </w:pPr>
    </w:p>
    <w:p w14:paraId="1D000000">
      <w:pPr>
        <w:sectPr>
          <w:pgSz w:h="16838" w:orient="portrait" w:w="11906"/>
          <w:pgMar w:bottom="567" w:footer="709" w:gutter="0" w:header="709" w:left="851" w:right="850" w:top="567"/>
        </w:sectPr>
      </w:pPr>
    </w:p>
    <w:p w14:paraId="1E000000">
      <w:pPr>
        <w:spacing w:line="100" w:lineRule="atLeast"/>
        <w:ind w:firstLine="0" w:left="12049"/>
        <w:jc w:val="right"/>
        <w:rPr>
          <w:b w:val="1"/>
        </w:rPr>
      </w:pPr>
      <w:r>
        <w:rPr>
          <w:b w:val="1"/>
        </w:rPr>
        <w:t>Приложение</w:t>
      </w:r>
      <w:r>
        <w:rPr>
          <w:b w:val="1"/>
        </w:rPr>
        <w:t xml:space="preserve"> 1</w:t>
      </w:r>
    </w:p>
    <w:p w14:paraId="1F000000">
      <w:pPr>
        <w:spacing w:line="100" w:lineRule="atLeast"/>
        <w:ind w:firstLine="0" w:left="12049"/>
        <w:jc w:val="right"/>
        <w:rPr>
          <w:b w:val="1"/>
        </w:rPr>
      </w:pPr>
      <w:r>
        <w:rPr>
          <w:b w:val="1"/>
        </w:rPr>
        <w:t xml:space="preserve"> к распоряжению Администрации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от </w:t>
      </w:r>
      <w:r>
        <w:rPr>
          <w:b w:val="1"/>
        </w:rPr>
        <w:t>26</w:t>
      </w:r>
      <w:r>
        <w:rPr>
          <w:b w:val="1"/>
        </w:rPr>
        <w:t>.</w:t>
      </w:r>
      <w:r>
        <w:rPr>
          <w:b w:val="1"/>
        </w:rPr>
        <w:t>0</w:t>
      </w:r>
      <w:r>
        <w:rPr>
          <w:b w:val="1"/>
        </w:rPr>
        <w:t>1</w:t>
      </w:r>
      <w:r>
        <w:rPr>
          <w:b w:val="1"/>
        </w:rPr>
        <w:t>.202</w:t>
      </w:r>
      <w:r>
        <w:rPr>
          <w:b w:val="1"/>
        </w:rPr>
        <w:t>4</w:t>
      </w:r>
      <w:r>
        <w:rPr>
          <w:b w:val="1"/>
        </w:rPr>
        <w:t>г</w:t>
      </w:r>
      <w:r>
        <w:rPr>
          <w:b w:val="1"/>
        </w:rPr>
        <w:t xml:space="preserve">. </w:t>
      </w:r>
      <w:r>
        <w:rPr>
          <w:b w:val="1"/>
        </w:rPr>
        <w:t xml:space="preserve"> № 19</w:t>
      </w:r>
    </w:p>
    <w:p w14:paraId="20000000">
      <w:pPr>
        <w:spacing w:line="100" w:lineRule="atLeast"/>
        <w:ind/>
        <w:jc w:val="center"/>
        <w:rPr>
          <w:sz w:val="28"/>
        </w:rPr>
      </w:pPr>
      <w:r>
        <w:rPr>
          <w:sz w:val="28"/>
        </w:rPr>
        <w:t>План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z w:val="28"/>
        </w:rPr>
        <w:t xml:space="preserve"> му</w:t>
      </w:r>
      <w:r>
        <w:rPr>
          <w:sz w:val="28"/>
        </w:rPr>
        <w:t>ниципальной</w:t>
      </w:r>
      <w:r>
        <w:rPr>
          <w:sz w:val="28"/>
        </w:rPr>
        <w:t xml:space="preserve"> про</w:t>
      </w:r>
      <w:r>
        <w:rPr>
          <w:sz w:val="28"/>
        </w:rPr>
        <w:t>граммы «</w:t>
      </w:r>
      <w:r>
        <w:rPr>
          <w:sz w:val="28"/>
        </w:rPr>
        <w:t>Информационное общество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Style w:val="Style_2"/>
        <w:tblInd w:type="dxa" w:w="359"/>
        <w:tblLayout w:type="fixed"/>
        <w:tblCellMar>
          <w:left w:type="dxa" w:w="75"/>
          <w:right w:type="dxa" w:w="75"/>
        </w:tblCellMar>
      </w:tblPr>
      <w:tblGrid>
        <w:gridCol w:w="849"/>
        <w:gridCol w:w="8"/>
        <w:gridCol w:w="2970"/>
        <w:gridCol w:w="2105"/>
        <w:gridCol w:w="2564"/>
        <w:gridCol w:w="1426"/>
        <w:gridCol w:w="993"/>
        <w:gridCol w:w="966"/>
        <w:gridCol w:w="7"/>
        <w:gridCol w:w="1153"/>
        <w:gridCol w:w="1107"/>
        <w:gridCol w:w="7"/>
        <w:gridCol w:w="1319"/>
      </w:tblGrid>
      <w:tr>
        <w:tc>
          <w:tcPr>
            <w:tcW w:type="dxa" w:w="85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21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(заместитель руководите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я ОИВ/ФИ</w:t>
            </w:r>
            <w:r>
              <w:rPr>
                <w:rFonts w:ascii="Times New Roman" w:hAnsi="Times New Roman"/>
                <w:sz w:val="24"/>
              </w:rPr>
              <w:t>О)</w:t>
            </w:r>
          </w:p>
        </w:tc>
        <w:tc>
          <w:tcPr>
            <w:tcW w:type="dxa" w:w="2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</w:t>
            </w:r>
            <w:r>
              <w:rPr>
                <w:rFonts w:ascii="Times New Roman" w:hAnsi="Times New Roman"/>
                <w:sz w:val="24"/>
              </w:rPr>
              <w:t>й ре</w:t>
            </w:r>
            <w:r>
              <w:rPr>
                <w:rFonts w:ascii="Times New Roman" w:hAnsi="Times New Roman"/>
                <w:sz w:val="24"/>
              </w:rPr>
              <w:t>зультат  (краткое описание)</w:t>
            </w:r>
          </w:p>
        </w:tc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5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 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&lt;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на 202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4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год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>
        <w:tc>
          <w:tcPr>
            <w:tcW w:type="dxa" w:w="85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област-ной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16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32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85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6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6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2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5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97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дп</w:t>
            </w:r>
            <w:r>
              <w:rPr>
                <w:sz w:val="24"/>
              </w:rPr>
              <w:t xml:space="preserve">рограмма </w:t>
            </w:r>
            <w:r>
              <w:rPr>
                <w:sz w:val="24"/>
              </w:rPr>
              <w:t xml:space="preserve"> </w:t>
            </w:r>
          </w:p>
          <w:p w14:paraId="3B000000">
            <w:pPr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</w:t>
            </w:r>
          </w:p>
        </w:tc>
        <w:tc>
          <w:tcPr>
            <w:tcW w:type="dxa" w:w="21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3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>ведущий специалист Гринь Е.В.</w:t>
            </w:r>
          </w:p>
        </w:tc>
        <w:tc>
          <w:tcPr>
            <w:tcW w:type="dxa" w:w="256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</w:p>
          <w:p w14:paraId="3F000000">
            <w:pPr>
              <w:widowControl w:val="0"/>
              <w:ind/>
              <w:rPr>
                <w:sz w:val="24"/>
              </w:rPr>
            </w:pPr>
          </w:p>
          <w:p w14:paraId="40000000">
            <w:pPr>
              <w:widowControl w:val="0"/>
              <w:ind/>
              <w:rPr>
                <w:sz w:val="24"/>
              </w:rPr>
            </w:pPr>
          </w:p>
          <w:p w14:paraId="41000000">
            <w:pPr>
              <w:widowControl w:val="0"/>
              <w:ind/>
              <w:rPr>
                <w:sz w:val="24"/>
              </w:rPr>
            </w:pPr>
          </w:p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                 Х</w:t>
            </w:r>
          </w:p>
        </w:tc>
        <w:tc>
          <w:tcPr>
            <w:tcW w:type="dxa" w:w="14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6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32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97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Закупка товаров, работ, услуг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сфере </w:t>
            </w:r>
            <w:r>
              <w:rPr>
                <w:rFonts w:ascii="Times New Roman" w:hAnsi="Times New Roman"/>
                <w:sz w:val="24"/>
              </w:rPr>
              <w:t>информационно-ком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уникационных технологий</w:t>
            </w:r>
          </w:p>
        </w:tc>
        <w:tc>
          <w:tcPr>
            <w:tcW w:type="dxa" w:w="21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>ведущий специалист Гринь Е.В.</w:t>
            </w:r>
          </w:p>
        </w:tc>
        <w:tc>
          <w:tcPr>
            <w:tcW w:type="dxa" w:w="256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Наличие на территории Новобессер</w:t>
            </w:r>
            <w:r>
              <w:rPr>
                <w:sz w:val="24"/>
              </w:rPr>
              <w:t xml:space="preserve">геневского </w:t>
            </w:r>
            <w:r>
              <w:rPr>
                <w:sz w:val="24"/>
              </w:rPr>
              <w:t xml:space="preserve">сельского поселения современной информационной и 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коммуни</w:t>
            </w:r>
            <w:r>
              <w:rPr>
                <w:sz w:val="24"/>
              </w:rPr>
              <w:t>кационной инфраструктуры</w:t>
            </w:r>
            <w:r>
              <w:rPr>
                <w:sz w:val="24"/>
              </w:rPr>
              <w:t>;</w:t>
            </w:r>
          </w:p>
          <w:p w14:paraId="4E000000">
            <w:pPr>
              <w:rPr>
                <w:sz w:val="24"/>
              </w:rPr>
            </w:pPr>
            <w:r>
              <w:rPr>
                <w:sz w:val="24"/>
              </w:rPr>
              <w:t>Обеспечение защиты информации, используемой при выполнении функций и полномочий органа местного самоуправления</w:t>
            </w:r>
            <w:r>
              <w:rPr>
                <w:sz w:val="24"/>
              </w:rPr>
              <w:t xml:space="preserve">; </w:t>
            </w:r>
          </w:p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Организация защиты персональных данных и иной</w:t>
            </w:r>
            <w:r>
              <w:rPr>
                <w:sz w:val="24"/>
              </w:rPr>
              <w:t xml:space="preserve"> информации</w:t>
            </w:r>
            <w:r>
              <w:rPr>
                <w:sz w:val="24"/>
              </w:rPr>
              <w:t xml:space="preserve"> , используемой при организации  межведомственного 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имодейс</w:t>
            </w:r>
            <w:r>
              <w:rPr>
                <w:sz w:val="24"/>
              </w:rPr>
              <w:t>твия и оказания муниципальных услуг</w:t>
            </w:r>
          </w:p>
        </w:tc>
        <w:tc>
          <w:tcPr>
            <w:tcW w:type="dxa" w:w="14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9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6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32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7"/>
            <w:gridSpan w:val="2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9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рабочих мест к КСТС и системе электронного документа оборота «Дело»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</w:tc>
        <w:tc>
          <w:tcPr>
            <w:tcW w:type="dxa" w:w="2105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Новобессерг</w:t>
            </w:r>
            <w:r>
              <w:rPr>
                <w:rFonts w:ascii="Times New Roman" w:hAnsi="Times New Roman"/>
                <w:sz w:val="24"/>
              </w:rPr>
              <w:t>еневского с</w:t>
            </w:r>
            <w:r>
              <w:rPr>
                <w:rFonts w:ascii="Times New Roman" w:hAnsi="Times New Roman"/>
                <w:sz w:val="24"/>
              </w:rPr>
              <w:t>ельского поселения</w:t>
            </w:r>
          </w:p>
          <w:p w14:paraId="5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пециали</w:t>
            </w:r>
            <w:r>
              <w:rPr>
                <w:rFonts w:ascii="Times New Roman" w:hAnsi="Times New Roman"/>
                <w:sz w:val="24"/>
              </w:rPr>
              <w:t>ст Гринь Е.В.</w:t>
            </w:r>
          </w:p>
        </w:tc>
        <w:tc>
          <w:tcPr>
            <w:tcW w:type="dxa" w:w="2564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муниципального управления ; сокращение времени административных процедур.</w:t>
            </w:r>
          </w:p>
        </w:tc>
        <w:tc>
          <w:tcPr>
            <w:tcW w:type="dxa" w:w="1426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60"/>
            <w:gridSpan w:val="2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26"/>
            <w:gridSpan w:val="2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5"/>
        </w:trPr>
        <w:tc>
          <w:tcPr>
            <w:tcW w:type="dxa" w:w="849"/>
            <w:tcMar>
              <w:left w:type="dxa" w:w="75"/>
              <w:right w:type="dxa" w:w="75"/>
            </w:tcMar>
          </w:tcPr>
          <w:p w14:paraId="6B000000">
            <w:pPr>
              <w:spacing w:line="100" w:lineRule="atLeas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978"/>
            <w:gridSpan w:val="2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type="dxa" w:w="2105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Новобессерг</w:t>
            </w:r>
            <w:r>
              <w:rPr>
                <w:rFonts w:ascii="Times New Roman" w:hAnsi="Times New Roman"/>
                <w:sz w:val="24"/>
              </w:rPr>
              <w:t>еневского сельского поселения</w:t>
            </w:r>
          </w:p>
          <w:p w14:paraId="6E000000">
            <w:r>
              <w:rPr>
                <w:sz w:val="24"/>
              </w:rPr>
              <w:t>Ответственный исполните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>ведущ</w:t>
            </w:r>
            <w:r>
              <w:rPr>
                <w:sz w:val="24"/>
              </w:rPr>
              <w:t>ий специалист Гринь Е.В.</w:t>
            </w:r>
          </w:p>
        </w:tc>
        <w:tc>
          <w:tcPr>
            <w:tcW w:type="dxa" w:w="2564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Повышение оперативности и качества  принимаемых решений, сокращение издержек на управление за счет внедрения соответствующих информационно-аналитических систем</w:t>
            </w:r>
            <w:r>
              <w:rPr>
                <w:sz w:val="24"/>
              </w:rPr>
              <w:t>.</w:t>
            </w:r>
          </w:p>
        </w:tc>
        <w:tc>
          <w:tcPr>
            <w:tcW w:type="dxa" w:w="1426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Весь пери</w:t>
            </w:r>
            <w:r>
              <w:rPr>
                <w:sz w:val="24"/>
              </w:rPr>
              <w:t>од</w:t>
            </w:r>
          </w:p>
        </w:tc>
        <w:tc>
          <w:tcPr>
            <w:tcW w:type="dxa" w:w="993"/>
            <w:shd w:fill="auto" w:val="clear"/>
            <w:tcMar>
              <w:left w:type="dxa" w:w="75"/>
              <w:right w:type="dxa" w:w="75"/>
            </w:tcMar>
          </w:tcPr>
          <w:p w14:paraId="71000000">
            <w:r>
              <w:t>-</w:t>
            </w:r>
          </w:p>
        </w:tc>
        <w:tc>
          <w:tcPr>
            <w:tcW w:type="dxa" w:w="973"/>
            <w:gridSpan w:val="2"/>
            <w:shd w:fill="auto" w:val="clear"/>
            <w:tcMar>
              <w:left w:type="dxa" w:w="75"/>
              <w:right w:type="dxa" w:w="75"/>
            </w:tcMar>
          </w:tcPr>
          <w:p w14:paraId="72000000">
            <w:r>
              <w:t>-</w:t>
            </w:r>
          </w:p>
        </w:tc>
        <w:tc>
          <w:tcPr>
            <w:tcW w:type="dxa" w:w="1153"/>
            <w:shd w:fill="auto" w:val="clear"/>
            <w:tcMar>
              <w:left w:type="dxa" w:w="75"/>
              <w:right w:type="dxa" w:w="75"/>
            </w:tcMar>
          </w:tcPr>
          <w:p w14:paraId="73000000">
            <w:r>
              <w:t>-</w:t>
            </w:r>
          </w:p>
        </w:tc>
        <w:tc>
          <w:tcPr>
            <w:tcW w:type="dxa" w:w="1114"/>
            <w:gridSpan w:val="2"/>
            <w:shd w:fill="auto" w:val="clear"/>
            <w:tcMar>
              <w:left w:type="dxa" w:w="75"/>
              <w:right w:type="dxa" w:w="75"/>
            </w:tcMar>
          </w:tcPr>
          <w:p w14:paraId="74000000">
            <w:r>
              <w:t>-</w:t>
            </w:r>
          </w:p>
        </w:tc>
        <w:tc>
          <w:tcPr>
            <w:tcW w:type="dxa" w:w="1319"/>
            <w:shd w:fill="auto" w:val="clear"/>
            <w:tcMar>
              <w:left w:type="dxa" w:w="75"/>
              <w:right w:type="dxa" w:w="75"/>
            </w:tcMar>
          </w:tcPr>
          <w:p w14:paraId="75000000">
            <w:r>
              <w:t>-</w:t>
            </w:r>
          </w:p>
        </w:tc>
      </w:tr>
      <w:tr>
        <w:trPr>
          <w:trHeight w:hRule="atLeast" w:val="690"/>
        </w:trPr>
        <w:tc>
          <w:tcPr>
            <w:tcW w:type="dxa" w:w="849"/>
            <w:tcMar>
              <w:left w:type="dxa" w:w="75"/>
              <w:right w:type="dxa" w:w="75"/>
            </w:tcMar>
          </w:tcPr>
          <w:p w14:paraId="76000000">
            <w:pPr>
              <w:spacing w:line="100" w:lineRule="atLeast"/>
              <w:ind/>
              <w:jc w:val="both"/>
            </w:pPr>
          </w:p>
        </w:tc>
        <w:tc>
          <w:tcPr>
            <w:tcW w:type="dxa" w:w="2978"/>
            <w:gridSpan w:val="2"/>
            <w:tcMar>
              <w:left w:type="dxa" w:w="75"/>
              <w:right w:type="dxa" w:w="75"/>
            </w:tcMar>
          </w:tcPr>
          <w:p w14:paraId="77000000">
            <w:pPr>
              <w:spacing w:line="100" w:lineRule="atLeas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  <w:r>
              <w:rPr>
                <w:sz w:val="24"/>
              </w:rPr>
              <w:t>:</w:t>
            </w:r>
          </w:p>
        </w:tc>
        <w:tc>
          <w:tcPr>
            <w:tcW w:type="dxa" w:w="2105"/>
            <w:tcMar>
              <w:left w:type="dxa" w:w="75"/>
              <w:right w:type="dxa" w:w="75"/>
            </w:tcMar>
          </w:tcPr>
          <w:p w14:paraId="78000000">
            <w:pPr>
              <w:spacing w:line="100" w:lineRule="atLeast"/>
              <w:ind/>
              <w:jc w:val="both"/>
            </w:pPr>
          </w:p>
        </w:tc>
        <w:tc>
          <w:tcPr>
            <w:tcW w:type="dxa" w:w="2564"/>
            <w:tcMar>
              <w:left w:type="dxa" w:w="75"/>
              <w:right w:type="dxa" w:w="75"/>
            </w:tcMar>
          </w:tcPr>
          <w:p w14:paraId="79000000">
            <w:pPr>
              <w:spacing w:line="100" w:lineRule="atLeast"/>
              <w:ind/>
              <w:jc w:val="both"/>
            </w:pPr>
          </w:p>
        </w:tc>
        <w:tc>
          <w:tcPr>
            <w:tcW w:type="dxa" w:w="1426"/>
            <w:tcMar>
              <w:left w:type="dxa" w:w="75"/>
              <w:right w:type="dxa" w:w="75"/>
            </w:tcMar>
          </w:tcPr>
          <w:p w14:paraId="7A000000">
            <w:pPr>
              <w:spacing w:line="100" w:lineRule="atLeast"/>
              <w:ind/>
              <w:jc w:val="both"/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B000000">
            <w:pPr>
              <w:spacing w:line="100" w:lineRule="atLeas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973"/>
            <w:gridSpan w:val="2"/>
            <w:tcMar>
              <w:left w:type="dxa" w:w="75"/>
              <w:right w:type="dxa" w:w="75"/>
            </w:tcMar>
          </w:tcPr>
          <w:p w14:paraId="7C000000">
            <w:pPr>
              <w:spacing w:line="100" w:lineRule="atLeast"/>
              <w:ind/>
              <w:jc w:val="both"/>
            </w:pPr>
            <w:r>
              <w:t>-</w:t>
            </w:r>
          </w:p>
        </w:tc>
        <w:tc>
          <w:tcPr>
            <w:tcW w:type="dxa" w:w="1153"/>
            <w:tcMar>
              <w:left w:type="dxa" w:w="75"/>
              <w:right w:type="dxa" w:w="75"/>
            </w:tcMar>
          </w:tcPr>
          <w:p w14:paraId="7D000000">
            <w:pPr>
              <w:spacing w:line="100" w:lineRule="atLeast"/>
              <w:ind/>
              <w:jc w:val="both"/>
            </w:pPr>
            <w:r>
              <w:t>-</w:t>
            </w:r>
          </w:p>
        </w:tc>
        <w:tc>
          <w:tcPr>
            <w:tcW w:type="dxa" w:w="1114"/>
            <w:gridSpan w:val="2"/>
            <w:tcMar>
              <w:left w:type="dxa" w:w="75"/>
              <w:right w:type="dxa" w:w="75"/>
            </w:tcMar>
          </w:tcPr>
          <w:p w14:paraId="7E000000">
            <w:pPr>
              <w:spacing w:line="100" w:lineRule="atLeast"/>
              <w:ind/>
              <w:jc w:val="both"/>
            </w:pPr>
            <w:r>
              <w:rPr>
                <w:sz w:val="24"/>
              </w:rPr>
              <w:t>15,</w:t>
            </w:r>
            <w:r>
              <w:rPr>
                <w:sz w:val="24"/>
              </w:rPr>
              <w:t>0</w:t>
            </w:r>
          </w:p>
        </w:tc>
        <w:tc>
          <w:tcPr>
            <w:tcW w:type="dxa" w:w="1319"/>
            <w:tcMar>
              <w:left w:type="dxa" w:w="75"/>
              <w:right w:type="dxa" w:w="75"/>
            </w:tcMar>
          </w:tcPr>
          <w:p w14:paraId="7F000000">
            <w:pPr>
              <w:spacing w:line="100" w:lineRule="atLeast"/>
              <w:ind/>
              <w:jc w:val="both"/>
            </w:pPr>
            <w:r>
              <w:t>-</w:t>
            </w:r>
          </w:p>
        </w:tc>
      </w:tr>
    </w:tbl>
    <w:p w14:paraId="80000000">
      <w:pPr>
        <w:spacing w:line="100" w:lineRule="atLeast"/>
        <w:ind w:firstLine="540" w:left="0"/>
        <w:jc w:val="both"/>
      </w:pPr>
    </w:p>
    <w:sectPr>
      <w:pgSz w:h="11906" w:orient="landscape" w:w="16838"/>
      <w:pgMar w:bottom="851" w:footer="709" w:gutter="0" w:header="709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Название Знак1"/>
    <w:link w:val="Style_23_ch"/>
    <w:rPr>
      <w:rFonts w:ascii="Cambria" w:hAnsi="Cambria"/>
      <w:color w:val="17365D"/>
      <w:spacing w:val="5"/>
      <w:sz w:val="52"/>
    </w:rPr>
  </w:style>
  <w:style w:styleId="Style_23_ch" w:type="character">
    <w:name w:val="Название Знак1"/>
    <w:link w:val="Style_23"/>
    <w:rPr>
      <w:rFonts w:ascii="Cambria" w:hAnsi="Cambria"/>
      <w:color w:val="17365D"/>
      <w:spacing w:val="5"/>
      <w:sz w:val="52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 w:firstLine="720" w:left="0"/>
      <w:jc w:val="center"/>
    </w:pPr>
    <w:rPr>
      <w:b w:val="1"/>
      <w:sz w:val="32"/>
    </w:rPr>
  </w:style>
  <w:style w:styleId="Style_1_ch" w:type="character">
    <w:name w:val="Title"/>
    <w:basedOn w:val="Style_6_ch"/>
    <w:link w:val="Style_1"/>
    <w:rPr>
      <w:b w:val="1"/>
      <w:sz w:val="3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2024-01-31T08:51:44Z</dcterms:modified>
</cp:coreProperties>
</file>