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904E" w14:textId="77777777" w:rsidR="00273689" w:rsidRDefault="00273689">
      <w:pPr>
        <w:pStyle w:val="afe"/>
        <w:rPr>
          <w:sz w:val="28"/>
        </w:rPr>
      </w:pPr>
    </w:p>
    <w:p w14:paraId="5C79E078" w14:textId="77777777" w:rsidR="00273689" w:rsidRDefault="003C3C3E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4AA53728" w14:textId="77777777" w:rsidR="00273689" w:rsidRDefault="003C3C3E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3F41D206" w14:textId="77777777" w:rsidR="00273689" w:rsidRDefault="003C3C3E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5B22F783" w14:textId="77777777" w:rsidR="00273689" w:rsidRDefault="003C3C3E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EB295" wp14:editId="01D60168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677E336E" w14:textId="77777777" w:rsidR="00273689" w:rsidRDefault="00273689">
      <w:pPr>
        <w:pStyle w:val="afe"/>
        <w:rPr>
          <w:sz w:val="28"/>
        </w:rPr>
      </w:pPr>
    </w:p>
    <w:p w14:paraId="6F87F0CE" w14:textId="77777777" w:rsidR="00273689" w:rsidRDefault="00273689">
      <w:pPr>
        <w:pStyle w:val="afc"/>
      </w:pPr>
    </w:p>
    <w:p w14:paraId="4D2DF39D" w14:textId="77777777" w:rsidR="00273689" w:rsidRDefault="003C3C3E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76E7B3B6" w14:textId="77777777" w:rsidR="00273689" w:rsidRDefault="00273689">
      <w:pPr>
        <w:pStyle w:val="afc"/>
        <w:jc w:val="left"/>
        <w:rPr>
          <w:rFonts w:ascii="Times New Roman" w:hAnsi="Times New Roman"/>
          <w:b/>
          <w:sz w:val="26"/>
        </w:rPr>
      </w:pPr>
    </w:p>
    <w:p w14:paraId="31E6399D" w14:textId="77777777" w:rsidR="00273689" w:rsidRDefault="003C3C3E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683D1679" w14:textId="5E6B5695" w:rsidR="00273689" w:rsidRDefault="003C3C3E">
      <w:pPr>
        <w:rPr>
          <w:sz w:val="26"/>
        </w:rPr>
      </w:pPr>
      <w:r>
        <w:rPr>
          <w:sz w:val="26"/>
        </w:rPr>
        <w:t xml:space="preserve">            «06» июля 2023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</w:t>
      </w:r>
      <w:r>
        <w:rPr>
          <w:sz w:val="26"/>
        </w:rPr>
        <w:tab/>
        <w:t xml:space="preserve">              № 86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273689" w14:paraId="3A782A99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0A940304" w14:textId="77777777" w:rsidR="00273689" w:rsidRDefault="00273689">
            <w:pPr>
              <w:rPr>
                <w:b/>
                <w:sz w:val="26"/>
              </w:rPr>
            </w:pPr>
          </w:p>
          <w:p w14:paraId="6B4468DF" w14:textId="77777777" w:rsidR="00273689" w:rsidRDefault="003C3C3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</w:t>
            </w:r>
            <w:r>
              <w:rPr>
                <w:b/>
                <w:sz w:val="26"/>
              </w:rPr>
              <w:t>реализации муниципальной программы Новобессергеневского сельского поселения «Муниципальная политика» за 6 месяцев 2023 года</w:t>
            </w:r>
          </w:p>
        </w:tc>
      </w:tr>
    </w:tbl>
    <w:p w14:paraId="2F070587" w14:textId="77777777" w:rsidR="00273689" w:rsidRDefault="00273689">
      <w:pPr>
        <w:jc w:val="center"/>
        <w:rPr>
          <w:b/>
          <w:sz w:val="26"/>
        </w:rPr>
      </w:pPr>
    </w:p>
    <w:p w14:paraId="3B6BCCA2" w14:textId="77777777" w:rsidR="00273689" w:rsidRDefault="003C3C3E">
      <w:pPr>
        <w:pStyle w:val="af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</w:t>
      </w:r>
      <w:r>
        <w:rPr>
          <w:rFonts w:ascii="Times New Roman" w:hAnsi="Times New Roman"/>
          <w:sz w:val="26"/>
        </w:rPr>
        <w:t>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 27):</w:t>
      </w:r>
    </w:p>
    <w:p w14:paraId="31962C5C" w14:textId="77777777" w:rsidR="00273689" w:rsidRDefault="00273689">
      <w:pPr>
        <w:jc w:val="center"/>
        <w:rPr>
          <w:sz w:val="26"/>
          <w:u w:val="single"/>
        </w:rPr>
      </w:pPr>
    </w:p>
    <w:p w14:paraId="6930802A" w14:textId="77777777" w:rsidR="00273689" w:rsidRDefault="003C3C3E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</w:t>
      </w:r>
      <w:r>
        <w:rPr>
          <w:sz w:val="26"/>
        </w:rPr>
        <w:t>сельского поселения «Муниципальная политика» за 1 полугодие 2023 года, согласно приложению.</w:t>
      </w:r>
    </w:p>
    <w:p w14:paraId="04B1B4B0" w14:textId="77777777" w:rsidR="00273689" w:rsidRDefault="003C3C3E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 xml:space="preserve">Настоящее распоряжение вступает в силу со дня его официального опубликования (обнародования) и подлежит размещению на официальном сайте </w:t>
      </w:r>
      <w:r>
        <w:rPr>
          <w:sz w:val="26"/>
        </w:rPr>
        <w:t>Новобессергеневского сельского поселения.</w:t>
      </w:r>
    </w:p>
    <w:p w14:paraId="306D66DB" w14:textId="77777777" w:rsidR="00273689" w:rsidRDefault="003C3C3E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700FABC2" w14:textId="77777777" w:rsidR="00273689" w:rsidRDefault="00273689">
      <w:pPr>
        <w:jc w:val="both"/>
        <w:rPr>
          <w:sz w:val="26"/>
        </w:rPr>
      </w:pPr>
    </w:p>
    <w:p w14:paraId="243D2744" w14:textId="77777777" w:rsidR="00273689" w:rsidRDefault="00273689">
      <w:pPr>
        <w:jc w:val="both"/>
        <w:rPr>
          <w:sz w:val="26"/>
        </w:rPr>
      </w:pPr>
    </w:p>
    <w:p w14:paraId="591823DC" w14:textId="77777777" w:rsidR="00273689" w:rsidRDefault="00273689">
      <w:pPr>
        <w:rPr>
          <w:sz w:val="26"/>
        </w:rPr>
      </w:pPr>
    </w:p>
    <w:p w14:paraId="0E2485B1" w14:textId="77777777" w:rsidR="00273689" w:rsidRDefault="00273689">
      <w:pPr>
        <w:rPr>
          <w:sz w:val="26"/>
        </w:rPr>
      </w:pPr>
    </w:p>
    <w:p w14:paraId="2A2997D1" w14:textId="77777777" w:rsidR="00273689" w:rsidRDefault="003C3C3E">
      <w:pPr>
        <w:rPr>
          <w:b/>
          <w:sz w:val="26"/>
        </w:rPr>
      </w:pPr>
      <w:r>
        <w:rPr>
          <w:b/>
          <w:sz w:val="26"/>
        </w:rPr>
        <w:t>Глава администрации</w:t>
      </w:r>
    </w:p>
    <w:p w14:paraId="18B1EF77" w14:textId="77777777" w:rsidR="00273689" w:rsidRDefault="003C3C3E">
      <w:pPr>
        <w:rPr>
          <w:b/>
          <w:sz w:val="26"/>
        </w:rPr>
      </w:pPr>
      <w:r>
        <w:rPr>
          <w:b/>
          <w:sz w:val="26"/>
        </w:rPr>
        <w:t>Новобессергеневского</w:t>
      </w:r>
    </w:p>
    <w:p w14:paraId="7D3C6718" w14:textId="77777777" w:rsidR="00273689" w:rsidRDefault="003C3C3E">
      <w:pPr>
        <w:rPr>
          <w:sz w:val="26"/>
        </w:rPr>
      </w:pPr>
      <w:r>
        <w:rPr>
          <w:b/>
          <w:sz w:val="26"/>
        </w:rPr>
        <w:t>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</w:t>
      </w:r>
      <w:r>
        <w:rPr>
          <w:b/>
          <w:sz w:val="26"/>
        </w:rPr>
        <w:tab/>
        <w:t xml:space="preserve">    </w:t>
      </w:r>
      <w:r>
        <w:rPr>
          <w:b/>
          <w:sz w:val="26"/>
        </w:rPr>
        <w:tab/>
        <w:t>А.Ю. Галуза</w:t>
      </w:r>
      <w:r>
        <w:rPr>
          <w:sz w:val="28"/>
        </w:rPr>
        <w:t xml:space="preserve">                                        </w:t>
      </w:r>
    </w:p>
    <w:p w14:paraId="114BECC5" w14:textId="77777777" w:rsidR="00273689" w:rsidRDefault="00273689">
      <w:pPr>
        <w:sectPr w:rsidR="00273689">
          <w:pgSz w:w="11906" w:h="16838"/>
          <w:pgMar w:top="567" w:right="737" w:bottom="567" w:left="907" w:header="709" w:footer="709" w:gutter="0"/>
          <w:cols w:space="720"/>
        </w:sectPr>
      </w:pPr>
    </w:p>
    <w:p w14:paraId="28C70E85" w14:textId="77777777" w:rsidR="00273689" w:rsidRDefault="003C3C3E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7784CCB2" w14:textId="77777777" w:rsidR="00273689" w:rsidRDefault="00273689">
      <w:pPr>
        <w:pStyle w:val="ConsPlusNonformat"/>
        <w:jc w:val="center"/>
        <w:rPr>
          <w:rFonts w:ascii="Times New Roman" w:hAnsi="Times New Roman"/>
          <w:sz w:val="24"/>
        </w:rPr>
      </w:pPr>
    </w:p>
    <w:p w14:paraId="3CADB456" w14:textId="77777777" w:rsidR="00273689" w:rsidRDefault="003C3C3E">
      <w:pPr>
        <w:pStyle w:val="ConsPlusNonformat"/>
        <w:jc w:val="center"/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программы: </w:t>
      </w:r>
      <w:r>
        <w:rPr>
          <w:rFonts w:ascii="Times New Roman" w:hAnsi="Times New Roman"/>
          <w:spacing w:val="-2"/>
          <w:sz w:val="24"/>
        </w:rPr>
        <w:t>«</w:t>
      </w:r>
      <w:r>
        <w:rPr>
          <w:rFonts w:ascii="Times New Roman" w:hAnsi="Times New Roman"/>
          <w:sz w:val="24"/>
        </w:rPr>
        <w:t>Муниципальная политика</w:t>
      </w:r>
      <w:r>
        <w:rPr>
          <w:rFonts w:ascii="Times New Roman" w:hAnsi="Times New Roman"/>
          <w:spacing w:val="-1"/>
          <w:sz w:val="24"/>
        </w:rPr>
        <w:t>»</w:t>
      </w:r>
      <w:r>
        <w:rPr>
          <w:rFonts w:ascii="Times New Roman" w:hAnsi="Times New Roman"/>
          <w:sz w:val="24"/>
        </w:rPr>
        <w:t xml:space="preserve"> отчетный период 6 месяцев 2023 года</w:t>
      </w:r>
    </w:p>
    <w:p w14:paraId="6EEC21D4" w14:textId="77777777" w:rsidR="00273689" w:rsidRDefault="00273689">
      <w:pPr>
        <w:widowControl w:val="0"/>
        <w:jc w:val="right"/>
        <w:outlineLvl w:val="2"/>
        <w:rPr>
          <w:sz w:val="22"/>
        </w:rPr>
      </w:pPr>
    </w:p>
    <w:p w14:paraId="73DAB301" w14:textId="77777777" w:rsidR="00273689" w:rsidRDefault="00273689">
      <w:pPr>
        <w:widowControl w:val="0"/>
        <w:jc w:val="right"/>
        <w:outlineLvl w:val="2"/>
        <w:rPr>
          <w:sz w:val="22"/>
        </w:rPr>
      </w:pP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9"/>
        <w:gridCol w:w="2928"/>
        <w:gridCol w:w="8"/>
        <w:gridCol w:w="1892"/>
        <w:gridCol w:w="2209"/>
        <w:gridCol w:w="1332"/>
        <w:gridCol w:w="1702"/>
        <w:gridCol w:w="1563"/>
        <w:gridCol w:w="1428"/>
        <w:gridCol w:w="1001"/>
        <w:gridCol w:w="1267"/>
      </w:tblGrid>
      <w:tr w:rsidR="00273689" w14:paraId="29791E97" w14:textId="77777777" w:rsidTr="003C3C3E">
        <w:trPr>
          <w:trHeight w:val="854"/>
        </w:trPr>
        <w:tc>
          <w:tcPr>
            <w:tcW w:w="689" w:type="dxa"/>
            <w:vMerge w:val="restart"/>
            <w:tcMar>
              <w:left w:w="75" w:type="dxa"/>
              <w:right w:w="75" w:type="dxa"/>
            </w:tcMar>
          </w:tcPr>
          <w:p w14:paraId="28122A45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936" w:type="dxa"/>
            <w:gridSpan w:val="2"/>
            <w:vMerge w:val="restart"/>
            <w:tcMar>
              <w:left w:w="75" w:type="dxa"/>
              <w:right w:w="75" w:type="dxa"/>
            </w:tcMar>
          </w:tcPr>
          <w:p w14:paraId="5BEC6B1D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17D60D68" w14:textId="77777777" w:rsidR="00273689" w:rsidRDefault="00273689">
            <w:pPr>
              <w:widowControl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892" w:type="dxa"/>
            <w:vMerge w:val="restart"/>
            <w:tcMar>
              <w:left w:w="75" w:type="dxa"/>
              <w:right w:w="75" w:type="dxa"/>
            </w:tcMar>
          </w:tcPr>
          <w:p w14:paraId="09CD0868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Ответственный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исполнитель, соисполнитель, участник</w:t>
            </w:r>
            <w:r>
              <w:rPr>
                <w:sz w:val="22"/>
              </w:rPr>
              <w:br/>
              <w:t>(должность/ ФИО)</w:t>
            </w:r>
          </w:p>
        </w:tc>
        <w:tc>
          <w:tcPr>
            <w:tcW w:w="2209" w:type="dxa"/>
            <w:vMerge w:val="restart"/>
            <w:tcMar>
              <w:left w:w="75" w:type="dxa"/>
              <w:right w:w="75" w:type="dxa"/>
            </w:tcMar>
          </w:tcPr>
          <w:p w14:paraId="19C8250C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  <w:p w14:paraId="2E41F7BB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реализации мероприятия (краткое описание)</w:t>
            </w:r>
          </w:p>
        </w:tc>
        <w:tc>
          <w:tcPr>
            <w:tcW w:w="1332" w:type="dxa"/>
            <w:vMerge w:val="restart"/>
            <w:tcMar>
              <w:left w:w="75" w:type="dxa"/>
              <w:right w:w="75" w:type="dxa"/>
            </w:tcMar>
          </w:tcPr>
          <w:p w14:paraId="33C98784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Фактическая дата начала   </w:t>
            </w:r>
            <w:r>
              <w:rPr>
                <w:sz w:val="22"/>
              </w:rPr>
              <w:br/>
              <w:t xml:space="preserve">реализации </w:t>
            </w:r>
            <w:r>
              <w:rPr>
                <w:sz w:val="22"/>
              </w:rPr>
              <w:br/>
              <w:t>мероприятия</w:t>
            </w:r>
          </w:p>
        </w:tc>
        <w:tc>
          <w:tcPr>
            <w:tcW w:w="1702" w:type="dxa"/>
            <w:vMerge w:val="restart"/>
            <w:tcMar>
              <w:left w:w="75" w:type="dxa"/>
              <w:right w:w="75" w:type="dxa"/>
            </w:tcMar>
          </w:tcPr>
          <w:p w14:paraId="5560B0D6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Фактическая дата окончания реализации мероприятия, </w:t>
            </w:r>
            <w:r>
              <w:rPr>
                <w:sz w:val="22"/>
              </w:rPr>
              <w:br/>
              <w:t xml:space="preserve">наступления  </w:t>
            </w:r>
            <w:r>
              <w:rPr>
                <w:sz w:val="22"/>
              </w:rPr>
              <w:br/>
              <w:t xml:space="preserve">контрольного </w:t>
            </w:r>
            <w:r>
              <w:rPr>
                <w:sz w:val="22"/>
              </w:rPr>
              <w:br/>
              <w:t>события</w:t>
            </w:r>
          </w:p>
        </w:tc>
        <w:tc>
          <w:tcPr>
            <w:tcW w:w="3992" w:type="dxa"/>
            <w:gridSpan w:val="3"/>
            <w:tcMar>
              <w:left w:w="75" w:type="dxa"/>
              <w:right w:w="75" w:type="dxa"/>
            </w:tcMar>
          </w:tcPr>
          <w:p w14:paraId="796CF26E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</w:rPr>
              <w:br/>
              <w:t>программы, тыс. руб.</w:t>
            </w:r>
          </w:p>
        </w:tc>
        <w:tc>
          <w:tcPr>
            <w:tcW w:w="1267" w:type="dxa"/>
            <w:vMerge w:val="restart"/>
            <w:tcMar>
              <w:left w:w="75" w:type="dxa"/>
              <w:right w:w="75" w:type="dxa"/>
            </w:tcMar>
          </w:tcPr>
          <w:p w14:paraId="639D6D5B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Заключено   </w:t>
            </w:r>
            <w:r>
              <w:rPr>
                <w:sz w:val="22"/>
              </w:rPr>
              <w:br/>
              <w:t>контрактов, договоров, соглашений на отчетную дату, тыс. рублей</w:t>
            </w:r>
          </w:p>
        </w:tc>
      </w:tr>
      <w:tr w:rsidR="00273689" w14:paraId="7C3CF339" w14:textId="77777777" w:rsidTr="003C3C3E">
        <w:trPr>
          <w:trHeight w:val="720"/>
        </w:trPr>
        <w:tc>
          <w:tcPr>
            <w:tcW w:w="689" w:type="dxa"/>
            <w:vMerge/>
            <w:tcMar>
              <w:left w:w="75" w:type="dxa"/>
              <w:right w:w="75" w:type="dxa"/>
            </w:tcMar>
          </w:tcPr>
          <w:p w14:paraId="26975B3A" w14:textId="77777777" w:rsidR="00273689" w:rsidRDefault="00273689"/>
        </w:tc>
        <w:tc>
          <w:tcPr>
            <w:tcW w:w="2936" w:type="dxa"/>
            <w:gridSpan w:val="2"/>
            <w:vMerge/>
            <w:tcMar>
              <w:left w:w="75" w:type="dxa"/>
              <w:right w:w="75" w:type="dxa"/>
            </w:tcMar>
          </w:tcPr>
          <w:p w14:paraId="179387C8" w14:textId="77777777" w:rsidR="00273689" w:rsidRDefault="00273689"/>
        </w:tc>
        <w:tc>
          <w:tcPr>
            <w:tcW w:w="1892" w:type="dxa"/>
            <w:vMerge/>
            <w:tcMar>
              <w:left w:w="75" w:type="dxa"/>
              <w:right w:w="75" w:type="dxa"/>
            </w:tcMar>
          </w:tcPr>
          <w:p w14:paraId="11CCB09E" w14:textId="77777777" w:rsidR="00273689" w:rsidRDefault="00273689"/>
        </w:tc>
        <w:tc>
          <w:tcPr>
            <w:tcW w:w="2209" w:type="dxa"/>
            <w:vMerge/>
            <w:tcMar>
              <w:left w:w="75" w:type="dxa"/>
              <w:right w:w="75" w:type="dxa"/>
            </w:tcMar>
          </w:tcPr>
          <w:p w14:paraId="74A05046" w14:textId="77777777" w:rsidR="00273689" w:rsidRDefault="00273689"/>
        </w:tc>
        <w:tc>
          <w:tcPr>
            <w:tcW w:w="1332" w:type="dxa"/>
            <w:vMerge/>
            <w:tcMar>
              <w:left w:w="75" w:type="dxa"/>
              <w:right w:w="75" w:type="dxa"/>
            </w:tcMar>
          </w:tcPr>
          <w:p w14:paraId="45347415" w14:textId="77777777" w:rsidR="00273689" w:rsidRDefault="00273689"/>
        </w:tc>
        <w:tc>
          <w:tcPr>
            <w:tcW w:w="1702" w:type="dxa"/>
            <w:vMerge/>
            <w:tcMar>
              <w:left w:w="75" w:type="dxa"/>
              <w:right w:w="75" w:type="dxa"/>
            </w:tcMar>
          </w:tcPr>
          <w:p w14:paraId="08561DC7" w14:textId="77777777" w:rsidR="00273689" w:rsidRDefault="00273689"/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6AC10E18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предусмотрено</w:t>
            </w:r>
          </w:p>
          <w:p w14:paraId="0B468E68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муниципальной программой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2CD1DD89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предусмотрено сводной бюджетной росписью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0A2C9BA0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факт на </w:t>
            </w:r>
            <w:r>
              <w:rPr>
                <w:sz w:val="22"/>
              </w:rPr>
              <w:t>отчетную дату</w:t>
            </w:r>
          </w:p>
        </w:tc>
        <w:tc>
          <w:tcPr>
            <w:tcW w:w="1267" w:type="dxa"/>
            <w:vMerge/>
            <w:tcMar>
              <w:left w:w="75" w:type="dxa"/>
              <w:right w:w="75" w:type="dxa"/>
            </w:tcMar>
          </w:tcPr>
          <w:p w14:paraId="6C5B0E35" w14:textId="77777777" w:rsidR="00273689" w:rsidRDefault="00273689"/>
        </w:tc>
      </w:tr>
      <w:tr w:rsidR="00273689" w14:paraId="406391F9" w14:textId="77777777" w:rsidTr="003C3C3E">
        <w:tc>
          <w:tcPr>
            <w:tcW w:w="689" w:type="dxa"/>
            <w:tcMar>
              <w:left w:w="75" w:type="dxa"/>
              <w:right w:w="75" w:type="dxa"/>
            </w:tcMar>
          </w:tcPr>
          <w:p w14:paraId="494BC82B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36" w:type="dxa"/>
            <w:gridSpan w:val="2"/>
            <w:tcMar>
              <w:left w:w="75" w:type="dxa"/>
              <w:right w:w="75" w:type="dxa"/>
            </w:tcMar>
          </w:tcPr>
          <w:p w14:paraId="7B4AFA3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2" w:type="dxa"/>
            <w:tcMar>
              <w:left w:w="75" w:type="dxa"/>
              <w:right w:w="75" w:type="dxa"/>
            </w:tcMar>
          </w:tcPr>
          <w:p w14:paraId="066D7BE7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31370CAF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27EE5F28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7EC5433D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70B186D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658E3CAB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1CBA5B3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344B1B50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73689" w14:paraId="42CA1FF3" w14:textId="77777777" w:rsidTr="003C3C3E">
        <w:trPr>
          <w:trHeight w:val="36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46E3C2F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28" w:type="dxa"/>
            <w:gridSpan w:val="3"/>
            <w:tcMar>
              <w:left w:w="75" w:type="dxa"/>
              <w:right w:w="75" w:type="dxa"/>
            </w:tcMar>
          </w:tcPr>
          <w:p w14:paraId="2ABC5355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Основное мероприятие «Диспансеризация муниципальных служащих»»</w:t>
            </w: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15D59B2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3EAEE92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5732AABF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4DCD42B8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568564CF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56793C7A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0412080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</w:tr>
      <w:tr w:rsidR="00273689" w14:paraId="147852EB" w14:textId="77777777" w:rsidTr="003C3C3E">
        <w:trPr>
          <w:trHeight w:val="36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5F388458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936" w:type="dxa"/>
            <w:gridSpan w:val="2"/>
            <w:tcMar>
              <w:left w:w="75" w:type="dxa"/>
              <w:right w:w="75" w:type="dxa"/>
            </w:tcMar>
          </w:tcPr>
          <w:p w14:paraId="163A005C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                   </w:t>
            </w:r>
          </w:p>
        </w:tc>
        <w:tc>
          <w:tcPr>
            <w:tcW w:w="1892" w:type="dxa"/>
            <w:vMerge w:val="restart"/>
            <w:tcMar>
              <w:left w:w="75" w:type="dxa"/>
              <w:right w:w="75" w:type="dxa"/>
            </w:tcMar>
          </w:tcPr>
          <w:p w14:paraId="4A2C7B79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Администрация Новобессергеневского сельского поселения </w:t>
            </w:r>
          </w:p>
        </w:tc>
        <w:tc>
          <w:tcPr>
            <w:tcW w:w="2209" w:type="dxa"/>
            <w:vMerge w:val="restart"/>
            <w:tcMar>
              <w:left w:w="75" w:type="dxa"/>
              <w:right w:w="75" w:type="dxa"/>
            </w:tcMar>
          </w:tcPr>
          <w:p w14:paraId="2789B7AF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Прохождение муниципальными служащими ежегодной диспансеризации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69588F89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01.01.2022г.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0587683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01.03.2023г.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36B6D476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1F0186B7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1899D7C6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60F790BB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</w:tr>
      <w:tr w:rsidR="00273689" w14:paraId="2844D561" w14:textId="77777777" w:rsidTr="003C3C3E">
        <w:tc>
          <w:tcPr>
            <w:tcW w:w="689" w:type="dxa"/>
            <w:tcMar>
              <w:left w:w="75" w:type="dxa"/>
              <w:right w:w="75" w:type="dxa"/>
            </w:tcMar>
          </w:tcPr>
          <w:p w14:paraId="6711B3F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936" w:type="dxa"/>
            <w:gridSpan w:val="2"/>
            <w:tcMar>
              <w:left w:w="75" w:type="dxa"/>
              <w:right w:w="75" w:type="dxa"/>
            </w:tcMar>
          </w:tcPr>
          <w:p w14:paraId="2D313C0F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</w:t>
            </w:r>
          </w:p>
        </w:tc>
        <w:tc>
          <w:tcPr>
            <w:tcW w:w="1892" w:type="dxa"/>
            <w:vMerge/>
            <w:tcMar>
              <w:left w:w="75" w:type="dxa"/>
              <w:right w:w="75" w:type="dxa"/>
            </w:tcMar>
          </w:tcPr>
          <w:p w14:paraId="54D9C990" w14:textId="77777777" w:rsidR="00273689" w:rsidRDefault="00273689"/>
        </w:tc>
        <w:tc>
          <w:tcPr>
            <w:tcW w:w="2209" w:type="dxa"/>
            <w:vMerge/>
            <w:tcMar>
              <w:left w:w="75" w:type="dxa"/>
              <w:right w:w="75" w:type="dxa"/>
            </w:tcMar>
          </w:tcPr>
          <w:p w14:paraId="42168968" w14:textId="77777777" w:rsidR="00273689" w:rsidRDefault="00273689"/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75A22A6D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31.12.2023г.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69429B05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01.07.2023г.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3B41FFBC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6DFC9ED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0F67A71C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16828569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</w:tr>
      <w:tr w:rsidR="00273689" w14:paraId="17FEE004" w14:textId="77777777" w:rsidTr="003C3C3E">
        <w:trPr>
          <w:trHeight w:val="24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73BAA19C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28" w:type="dxa"/>
            <w:tcMar>
              <w:left w:w="75" w:type="dxa"/>
              <w:right w:w="75" w:type="dxa"/>
            </w:tcMar>
          </w:tcPr>
          <w:p w14:paraId="59D6C06D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Основное мероприятие «Выплата ежемесячной доплаты к пенсии отдельным категориям граждан»</w:t>
            </w:r>
          </w:p>
        </w:tc>
        <w:tc>
          <w:tcPr>
            <w:tcW w:w="1900" w:type="dxa"/>
            <w:gridSpan w:val="2"/>
            <w:tcMar>
              <w:left w:w="75" w:type="dxa"/>
              <w:right w:w="75" w:type="dxa"/>
            </w:tcMar>
          </w:tcPr>
          <w:p w14:paraId="1EA0FF06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Администрация Новобессергеневского сельского поселения</w:t>
            </w: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21645276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Выплата ежемесячной доплаты к пенсии отдельным категориям </w:t>
            </w:r>
            <w:r>
              <w:rPr>
                <w:sz w:val="22"/>
              </w:rPr>
              <w:t>граждан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20BC451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01.01.2023г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71B292F6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31.12.2023г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6ABCD5E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69663C4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12246A2F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1A0A4B7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</w:tr>
      <w:tr w:rsidR="00273689" w14:paraId="4494A251" w14:textId="77777777" w:rsidTr="003C3C3E">
        <w:trPr>
          <w:trHeight w:val="24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27E4B89F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2928" w:type="dxa"/>
            <w:tcMar>
              <w:left w:w="75" w:type="dxa"/>
              <w:right w:w="75" w:type="dxa"/>
            </w:tcMar>
          </w:tcPr>
          <w:p w14:paraId="0C8B63F6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900" w:type="dxa"/>
            <w:gridSpan w:val="2"/>
            <w:tcMar>
              <w:left w:w="75" w:type="dxa"/>
              <w:right w:w="75" w:type="dxa"/>
            </w:tcMar>
          </w:tcPr>
          <w:p w14:paraId="5A8690AF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77696BE1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225C7C91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51239AD2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5DF74374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71E398D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436AAEC5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6EBF866B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</w:tr>
    </w:tbl>
    <w:p w14:paraId="1523E98D" w14:textId="77777777" w:rsidR="00273689" w:rsidRDefault="00273689">
      <w:pPr>
        <w:widowControl w:val="0"/>
        <w:jc w:val="right"/>
        <w:outlineLvl w:val="2"/>
        <w:rPr>
          <w:sz w:val="22"/>
        </w:rPr>
      </w:pPr>
    </w:p>
    <w:p w14:paraId="1DC37DD2" w14:textId="77777777" w:rsidR="00273689" w:rsidRDefault="00273689">
      <w:pPr>
        <w:widowControl w:val="0"/>
        <w:jc w:val="right"/>
        <w:outlineLvl w:val="2"/>
        <w:rPr>
          <w:sz w:val="22"/>
        </w:rPr>
      </w:pPr>
    </w:p>
    <w:sectPr w:rsidR="00273689">
      <w:footerReference w:type="default" r:id="rId7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A81A" w14:textId="77777777" w:rsidR="00000000" w:rsidRDefault="003C3C3E">
      <w:r>
        <w:separator/>
      </w:r>
    </w:p>
  </w:endnote>
  <w:endnote w:type="continuationSeparator" w:id="0">
    <w:p w14:paraId="77CE8495" w14:textId="77777777" w:rsidR="00000000" w:rsidRDefault="003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A3DF" w14:textId="77777777" w:rsidR="00273689" w:rsidRDefault="003C3C3E">
    <w:pPr>
      <w:framePr w:wrap="around" w:vAnchor="text" w:hAnchor="margin" w:xAlign="right" w:y="1"/>
    </w:pPr>
    <w:r>
      <w:rPr>
        <w:rStyle w:val="1f4"/>
      </w:rPr>
      <w:fldChar w:fldCharType="begin"/>
    </w:r>
    <w:r>
      <w:rPr>
        <w:rStyle w:val="1f4"/>
      </w:rPr>
      <w:instrText xml:space="preserve">PAGE </w:instrText>
    </w:r>
    <w:r>
      <w:rPr>
        <w:rStyle w:val="1f4"/>
      </w:rPr>
      <w:fldChar w:fldCharType="separate"/>
    </w:r>
    <w:r>
      <w:rPr>
        <w:rStyle w:val="1f4"/>
        <w:noProof/>
      </w:rPr>
      <w:t>2</w:t>
    </w:r>
    <w:r>
      <w:rPr>
        <w:rStyle w:val="1f4"/>
      </w:rPr>
      <w:fldChar w:fldCharType="end"/>
    </w:r>
  </w:p>
  <w:p w14:paraId="6A137DDF" w14:textId="77777777" w:rsidR="00273689" w:rsidRDefault="002736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AF41" w14:textId="77777777" w:rsidR="00000000" w:rsidRDefault="003C3C3E">
      <w:r>
        <w:separator/>
      </w:r>
    </w:p>
  </w:footnote>
  <w:footnote w:type="continuationSeparator" w:id="0">
    <w:p w14:paraId="31558A92" w14:textId="77777777" w:rsidR="00000000" w:rsidRDefault="003C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D57F3"/>
    <w:multiLevelType w:val="multilevel"/>
    <w:tmpl w:val="9CD29B10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98207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89"/>
    <w:rsid w:val="00273689"/>
    <w:rsid w:val="003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D8A4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Отчетный"/>
    <w:basedOn w:val="a"/>
    <w:link w:val="a4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Отчетный"/>
    <w:basedOn w:val="1"/>
    <w:link w:val="a3"/>
    <w:rPr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a7">
    <w:name w:val="Знак"/>
    <w:basedOn w:val="a"/>
    <w:link w:val="a8"/>
    <w:pPr>
      <w:spacing w:beforeAutospacing="1" w:afterAutospacing="1"/>
    </w:pPr>
    <w:rPr>
      <w:rFonts w:ascii="Tahoma" w:hAnsi="Tahoma"/>
    </w:rPr>
  </w:style>
  <w:style w:type="character" w:customStyle="1" w:styleId="a8">
    <w:name w:val="Знак"/>
    <w:basedOn w:val="1"/>
    <w:link w:val="a7"/>
    <w:rPr>
      <w:rFonts w:ascii="Tahoma" w:hAnsi="Tahoma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Pr>
      <w:rFonts w:ascii="Tahoma" w:hAnsi="Tahoma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ad">
    <w:name w:val="Нормальный (таблица)"/>
    <w:basedOn w:val="a"/>
    <w:next w:val="a"/>
    <w:link w:val="ae"/>
    <w:pPr>
      <w:widowControl w:val="0"/>
      <w:jc w:val="both"/>
    </w:pPr>
    <w:rPr>
      <w:rFonts w:ascii="Arial" w:hAnsi="Arial"/>
      <w:sz w:val="24"/>
    </w:rPr>
  </w:style>
  <w:style w:type="character" w:customStyle="1" w:styleId="ae">
    <w:name w:val="Нормальный (таблица)"/>
    <w:basedOn w:val="1"/>
    <w:link w:val="ad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Абзац списка1"/>
    <w:basedOn w:val="17"/>
    <w:link w:val="18"/>
    <w:rPr>
      <w:rFonts w:ascii="Calibri" w:hAnsi="Calibri"/>
      <w:sz w:val="22"/>
    </w:rPr>
  </w:style>
  <w:style w:type="character" w:customStyle="1" w:styleId="18">
    <w:name w:val="Абзац списка1"/>
    <w:basedOn w:val="19"/>
    <w:link w:val="16"/>
    <w:rPr>
      <w:rFonts w:ascii="Calibri" w:hAnsi="Calibri"/>
      <w:sz w:val="22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e">
    <w:name w:val="Знак1"/>
    <w:basedOn w:val="a"/>
    <w:link w:val="1f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Pr>
      <w:rFonts w:ascii="Tahoma" w:hAnsi="Tahoma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styleId="24">
    <w:name w:val="Body Text Indent 2"/>
    <w:basedOn w:val="a"/>
    <w:link w:val="25"/>
    <w:pPr>
      <w:spacing w:line="360" w:lineRule="auto"/>
      <w:ind w:firstLine="720"/>
    </w:pPr>
    <w:rPr>
      <w:sz w:val="28"/>
    </w:rPr>
  </w:style>
  <w:style w:type="character" w:customStyle="1" w:styleId="25">
    <w:name w:val="Основной текст с отступом 2 Знак"/>
    <w:basedOn w:val="1"/>
    <w:link w:val="2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Интернет) Знак"/>
    <w:basedOn w:val="1"/>
    <w:link w:val="af4"/>
    <w:rPr>
      <w:sz w:val="24"/>
    </w:rPr>
  </w:style>
  <w:style w:type="paragraph" w:customStyle="1" w:styleId="1f2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3">
    <w:name w:val="Номер страницы1"/>
    <w:link w:val="1f4"/>
  </w:style>
  <w:style w:type="character" w:customStyle="1" w:styleId="1f4">
    <w:name w:val="Номер страницы1"/>
    <w:link w:val="1f3"/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1f5">
    <w:name w:val="Основной текст1"/>
    <w:link w:val="1f6"/>
    <w:rPr>
      <w:rFonts w:ascii="Courier New" w:hAnsi="Courier New"/>
      <w:sz w:val="18"/>
      <w:highlight w:val="white"/>
    </w:rPr>
  </w:style>
  <w:style w:type="character" w:customStyle="1" w:styleId="1f6">
    <w:name w:val="Основной текст1"/>
    <w:link w:val="1f5"/>
    <w:rPr>
      <w:rFonts w:ascii="Courier New" w:hAnsi="Courier New"/>
      <w:sz w:val="18"/>
      <w:highlight w:val="white"/>
    </w:rPr>
  </w:style>
  <w:style w:type="paragraph" w:customStyle="1" w:styleId="17">
    <w:name w:val="Обычный1"/>
    <w:link w:val="19"/>
  </w:style>
  <w:style w:type="character" w:customStyle="1" w:styleId="19">
    <w:name w:val="Обычный1"/>
    <w:link w:val="17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af8">
    <w:name w:val="List Paragraph"/>
    <w:basedOn w:val="a"/>
    <w:link w:val="af9"/>
    <w:pPr>
      <w:ind w:left="720"/>
    </w:pPr>
  </w:style>
  <w:style w:type="character" w:customStyle="1" w:styleId="af9">
    <w:name w:val="Абзац списка Знак"/>
    <w:basedOn w:val="1"/>
    <w:link w:val="af8"/>
  </w:style>
  <w:style w:type="paragraph" w:customStyle="1" w:styleId="1f9">
    <w:name w:val="Без интервала1"/>
    <w:link w:val="1fa"/>
    <w:rPr>
      <w:rFonts w:ascii="Calibri" w:hAnsi="Calibri"/>
      <w:sz w:val="22"/>
    </w:rPr>
  </w:style>
  <w:style w:type="character" w:customStyle="1" w:styleId="1fa">
    <w:name w:val="Без интервала1"/>
    <w:link w:val="1f9"/>
    <w:rPr>
      <w:rFonts w:ascii="Calibri" w:hAnsi="Calibri"/>
      <w:sz w:val="22"/>
    </w:rPr>
  </w:style>
  <w:style w:type="paragraph" w:styleId="afa">
    <w:name w:val="Body Text"/>
    <w:basedOn w:val="a"/>
    <w:link w:val="afb"/>
    <w:rPr>
      <w:sz w:val="28"/>
    </w:rPr>
  </w:style>
  <w:style w:type="character" w:customStyle="1" w:styleId="afb">
    <w:name w:val="Основной текст Знак"/>
    <w:basedOn w:val="1"/>
    <w:link w:val="afa"/>
    <w:rPr>
      <w:sz w:val="28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1fb">
    <w:name w:val="Основной текст1"/>
    <w:link w:val="1fc"/>
    <w:rPr>
      <w:rFonts w:ascii="Book Antiqua" w:hAnsi="Book Antiqua"/>
      <w:sz w:val="29"/>
    </w:rPr>
  </w:style>
  <w:style w:type="character" w:customStyle="1" w:styleId="1fc">
    <w:name w:val="Основной текст1"/>
    <w:link w:val="1fb"/>
    <w:rPr>
      <w:rFonts w:ascii="Book Antiqua" w:hAnsi="Book Antiqua"/>
      <w:color w:val="000000"/>
      <w:spacing w:val="0"/>
      <w:sz w:val="29"/>
      <w:u w:val="none"/>
    </w:rPr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2</cp:revision>
  <dcterms:created xsi:type="dcterms:W3CDTF">2023-07-13T08:33:00Z</dcterms:created>
  <dcterms:modified xsi:type="dcterms:W3CDTF">2023-07-13T08:33:00Z</dcterms:modified>
</cp:coreProperties>
</file>