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ПРОТОКОЛ № 3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заседания комиссии по  противодействию коррупции при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Администрации  </w:t>
      </w:r>
      <w:r>
        <w:rPr>
          <w:rFonts w:ascii="Times New Roman" w:hAnsi="Times New Roman"/>
          <w:b w:val="1"/>
          <w:sz w:val="24"/>
        </w:rPr>
        <w:t>Новобессергеневского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</w:p>
    <w:p w14:paraId="0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5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Петрушино</w:t>
      </w: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</w:t>
      </w:r>
    </w:p>
    <w:p w14:paraId="06000000">
      <w:pPr>
        <w:spacing w:after="21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 члены комиссии:</w:t>
      </w:r>
    </w:p>
    <w:p w14:paraId="0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Галуза А.Я. -  Глава  администрации  поселения, председатель комиссии; </w:t>
      </w:r>
    </w:p>
    <w:p w14:paraId="0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Евлоева Е.А. – начальник отдела экономики и финансов Администрации, заместитель председателя;</w:t>
      </w:r>
    </w:p>
    <w:p w14:paraId="0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Сычева Г.И..</w:t>
      </w:r>
      <w:r>
        <w:rPr>
          <w:rFonts w:ascii="Times New Roman" w:hAnsi="Times New Roman"/>
          <w:sz w:val="24"/>
        </w:rPr>
        <w:t xml:space="preserve"> – старший инспектор Администрации, секретарь комиссии</w:t>
      </w:r>
      <w:r>
        <w:rPr>
          <w:rFonts w:ascii="Times New Roman" w:hAnsi="Times New Roman"/>
          <w:sz w:val="24"/>
        </w:rPr>
        <w:t>;</w:t>
      </w:r>
    </w:p>
    <w:p w14:paraId="0A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14:paraId="0B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Мустафина Т.А. – ведущий специалист Администрации;</w:t>
      </w:r>
    </w:p>
    <w:p w14:paraId="0C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Тодоров п.А.. – депутат Собрания депутатов Новобессергеневского сельского поселения.</w:t>
      </w:r>
    </w:p>
    <w:p w14:paraId="0D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ПОВЕСТКА ДНЯ:</w:t>
      </w:r>
    </w:p>
    <w:p w14:paraId="0E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ходе исполнения мероприятий Плана противодействия коррупции в органах местного самоуправления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СЛУШАЛИ: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Галуза А.Ю.</w:t>
      </w:r>
      <w:r>
        <w:rPr>
          <w:rFonts w:ascii="Times New Roman" w:hAnsi="Times New Roman"/>
          <w:sz w:val="24"/>
        </w:rPr>
        <w:t xml:space="preserve"> –  Главу администрации  сельского поселения.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«Представила   информацию о ходе реализации плана и программы противодействия коррупции на посе</w:t>
      </w:r>
      <w:r>
        <w:rPr>
          <w:rFonts w:ascii="Times New Roman" w:hAnsi="Times New Roman"/>
          <w:sz w:val="24"/>
        </w:rPr>
        <w:t>ления  за   третий квартал 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года: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Антикоррупционная экспертиза муниципальных нормативных правовых актов и их проектов проводится в порядке, установленном постановлением Администрации </w:t>
      </w:r>
      <w:r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 xml:space="preserve">«Об утверждении Порядка проведения антикоррупционной экспертизы нормативных правовых актов  Администрации 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сельского поселения»,  согласно методике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    </w:t>
      </w:r>
      <w:r>
        <w:rPr>
          <w:rFonts w:ascii="Times New Roman" w:hAnsi="Times New Roman"/>
          <w:sz w:val="24"/>
        </w:rPr>
        <w:t xml:space="preserve">          </w:t>
      </w:r>
    </w:p>
    <w:p w14:paraId="13000000">
      <w:pPr>
        <w:pStyle w:val="Style_1"/>
      </w:pPr>
      <w:r>
        <w:t>В 3 квартале 20</w:t>
      </w:r>
      <w:r>
        <w:t>21</w:t>
      </w:r>
      <w:r>
        <w:t xml:space="preserve"> года коррупциогенны</w:t>
      </w:r>
      <w:r>
        <w:t>е</w:t>
      </w:r>
      <w:r>
        <w:t xml:space="preserve"> фактор</w:t>
      </w:r>
      <w:r>
        <w:t xml:space="preserve">ы не </w:t>
      </w:r>
      <w:r>
        <w:t>был</w:t>
      </w:r>
      <w:r>
        <w:t>и</w:t>
      </w:r>
      <w:r>
        <w:t xml:space="preserve"> выявлен</w:t>
      </w:r>
      <w:r>
        <w:t>ы.</w:t>
      </w:r>
    </w:p>
    <w:p w14:paraId="14000000">
      <w:pPr>
        <w:pStyle w:val="Style_1"/>
      </w:pPr>
      <w:r>
        <w:rPr>
          <w:rFonts w:ascii="Times New Roman" w:hAnsi="Times New Roman"/>
          <w:sz w:val="24"/>
        </w:rPr>
        <w:t>Случаев не устранения выявленных коррупциогенных факторов – нет.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14:paraId="1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 Профилактика коррупционных и иных правонарушений в администрации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интересов.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Проверки достоверности и полноты представляемых сведений не проводились  в виду отсутствия оснований для их проведения.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 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Муниципальные служащие  к ответственности (уголовной, административной) за совершение коррупционных правонарушений не привлекались. К дисциплинарной ответственности муниципальные служащие </w:t>
      </w:r>
      <w:r>
        <w:rPr>
          <w:rFonts w:ascii="Times New Roman" w:hAnsi="Times New Roman"/>
          <w:sz w:val="24"/>
        </w:rPr>
        <w:t xml:space="preserve">по результатам проверок проводимых органами прокуратуры района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привлекались.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   Продолжается работа по внесению изменений и дополнений  в административные регламенты предоставления муниципальных услуг в целях приведения их в соответствие с 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Антикоррупционное обучение служащих Администрации поселения</w:t>
      </w:r>
      <w:r>
        <w:rPr>
          <w:rFonts w:ascii="Times New Roman" w:hAnsi="Times New Roman"/>
          <w:sz w:val="24"/>
        </w:rPr>
        <w:t xml:space="preserve">  в  третьем  квартале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не проводилось. 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  Проблем  в деятельности  должностных лиц по профилактике     коррупционных     и     иных     правонарушений  не   установлено.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Действующие муниципальные правовые акты по вопросам противодействия коррупции    требованиям    федеральных    законов,    нормативных    правовых    актов федеральных  государственных  органов  и  нормативных  правовых  актов органов   государственной   власти   субъекта   Российской   Федерации   соответствуют.</w:t>
      </w:r>
    </w:p>
    <w:p w14:paraId="1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Решили: принять к сведению информацию  </w:t>
      </w:r>
      <w:r>
        <w:rPr>
          <w:rFonts w:ascii="Times New Roman" w:hAnsi="Times New Roman"/>
          <w:sz w:val="24"/>
        </w:rPr>
        <w:t>А.Ю.Галуза</w:t>
      </w:r>
      <w:r>
        <w:rPr>
          <w:rFonts w:ascii="Times New Roman" w:hAnsi="Times New Roman"/>
          <w:sz w:val="24"/>
        </w:rPr>
        <w:t xml:space="preserve">     </w:t>
      </w:r>
    </w:p>
    <w:p w14:paraId="2000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p w14:paraId="21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комиссии   ___________________________</w:t>
      </w:r>
      <w:r>
        <w:rPr>
          <w:rFonts w:ascii="Times New Roman" w:hAnsi="Times New Roman"/>
          <w:b w:val="1"/>
          <w:sz w:val="24"/>
        </w:rPr>
        <w:t>А.Ю.Галуза</w:t>
      </w:r>
    </w:p>
    <w:p w14:paraId="22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Секретарь комиссии        ____________________________</w:t>
      </w:r>
      <w:r>
        <w:rPr>
          <w:rFonts w:ascii="Times New Roman" w:hAnsi="Times New Roman"/>
          <w:b w:val="1"/>
          <w:sz w:val="24"/>
        </w:rPr>
        <w:t>Г.И.Сычева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PlusTitle"/>
    <w:link w:val="Style_3"/>
    <w:rPr>
      <w:rFonts w:ascii="Arial" w:hAnsi="Arial"/>
      <w:b w:val="1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estern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western"/>
    <w:basedOn w:val="Style_2_ch"/>
    <w:link w:val="Style_5"/>
    <w:rPr>
      <w:rFonts w:ascii="Times New Roman" w:hAnsi="Times New Roman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No Spacing"/>
    <w:link w:val="Style_11_ch"/>
    <w:rPr>
      <w:sz w:val="22"/>
    </w:rPr>
  </w:style>
  <w:style w:styleId="Style_11_ch" w:type="character">
    <w:name w:val="No Spacing"/>
    <w:link w:val="Style_11"/>
    <w:rPr>
      <w:sz w:val="22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Содержимое таблицы"/>
    <w:basedOn w:val="Style_2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Содержимое таблицы"/>
    <w:basedOn w:val="Style_2_ch"/>
    <w:link w:val="Style_1"/>
    <w:rPr>
      <w:rFonts w:ascii="Times New Roman" w:hAnsi="Times New Roman"/>
      <w:sz w:val="24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2023-06-27T11:46:03Z</dcterms:modified>
</cp:coreProperties>
</file>